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E5887C" w14:textId="3FD78503" w:rsidR="001A6A92" w:rsidRPr="001A6A92" w:rsidRDefault="001A6A92" w:rsidP="001A6A92">
      <w:pPr>
        <w:widowControl/>
        <w:suppressAutoHyphens w:val="0"/>
        <w:rPr>
          <w:rFonts w:ascii="Times" w:eastAsia="Times New Roman" w:hAnsi="Times" w:cs="Times New Roman"/>
          <w:b/>
          <w:bCs/>
          <w:color w:val="000000"/>
          <w:kern w:val="0"/>
          <w:sz w:val="20"/>
          <w:szCs w:val="20"/>
          <w:lang w:eastAsia="en-US" w:bidi="ar-SA"/>
        </w:rPr>
      </w:pPr>
      <w:r w:rsidRPr="001A6A92">
        <w:rPr>
          <w:rFonts w:ascii="Times" w:eastAsia="Times New Roman" w:hAnsi="Times" w:cs="Times New Roman"/>
          <w:b/>
          <w:bCs/>
          <w:color w:val="000000"/>
          <w:kern w:val="0"/>
          <w:sz w:val="20"/>
          <w:szCs w:val="20"/>
          <w:lang w:eastAsia="en-US" w:bidi="ar-SA"/>
        </w:rPr>
        <w:t>Coding round 1</w:t>
      </w:r>
      <w:r w:rsidRPr="001A6A92">
        <w:rPr>
          <w:rFonts w:ascii="Times" w:eastAsia="Times New Roman" w:hAnsi="Times" w:cs="Times New Roman"/>
          <w:b/>
          <w:bCs/>
          <w:color w:val="000000"/>
          <w:kern w:val="0"/>
          <w:sz w:val="20"/>
          <w:szCs w:val="20"/>
          <w:lang w:eastAsia="en-US" w:bidi="ar-SA"/>
        </w:rPr>
        <w:t>:</w:t>
      </w:r>
      <w:r w:rsidRPr="001A6A92">
        <w:rPr>
          <w:rFonts w:ascii="Times" w:eastAsia="Times New Roman" w:hAnsi="Times" w:cs="Times New Roman"/>
          <w:color w:val="000000"/>
          <w:kern w:val="0"/>
          <w:sz w:val="20"/>
          <w:szCs w:val="20"/>
          <w:lang w:eastAsia="en-US" w:bidi="ar-SA"/>
        </w:rPr>
        <w:t xml:space="preserve"> </w:t>
      </w:r>
      <w:r w:rsidRPr="001A6A92">
        <w:rPr>
          <w:rFonts w:ascii="Times" w:eastAsia="Times New Roman" w:hAnsi="Times" w:cs="Times New Roman"/>
          <w:color w:val="000000"/>
          <w:kern w:val="0"/>
          <w:sz w:val="20"/>
          <w:szCs w:val="20"/>
          <w:lang w:eastAsia="en-US" w:bidi="ar-SA"/>
        </w:rPr>
        <w:t xml:space="preserve">identified all interview data related to use of managed fire in each case. Round 2 coding then coded </w:t>
      </w:r>
      <w:r w:rsidRPr="001A6A92">
        <w:rPr>
          <w:rFonts w:ascii="Times" w:eastAsia="Times New Roman" w:hAnsi="Times" w:cs="Times New Roman"/>
          <w:i/>
          <w:iCs/>
          <w:color w:val="000000"/>
          <w:kern w:val="0"/>
          <w:sz w:val="20"/>
          <w:szCs w:val="20"/>
          <w:lang w:eastAsia="en-US" w:bidi="ar-SA"/>
        </w:rPr>
        <w:t>within</w:t>
      </w:r>
      <w:r w:rsidRPr="001A6A92">
        <w:rPr>
          <w:rFonts w:ascii="Times" w:eastAsia="Times New Roman" w:hAnsi="Times" w:cs="Times New Roman"/>
          <w:color w:val="000000"/>
          <w:kern w:val="0"/>
          <w:sz w:val="20"/>
          <w:szCs w:val="20"/>
          <w:lang w:eastAsia="en-US" w:bidi="ar-SA"/>
        </w:rPr>
        <w:t xml:space="preserve"> the data identified in Round 1.</w:t>
      </w:r>
    </w:p>
    <w:p w14:paraId="13B1D983" w14:textId="5E0C341A" w:rsidR="001A6A92" w:rsidRPr="001A6A92" w:rsidRDefault="001A6A92" w:rsidP="001A6A92">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b/>
          <w:bCs/>
          <w:color w:val="000000"/>
          <w:kern w:val="0"/>
          <w:sz w:val="20"/>
          <w:szCs w:val="20"/>
          <w:lang w:eastAsia="en-US" w:bidi="ar-SA"/>
        </w:rPr>
        <w:t xml:space="preserve">Coding round 2: </w:t>
      </w:r>
      <w:r w:rsidRPr="001A6A92">
        <w:rPr>
          <w:rFonts w:ascii="Times" w:eastAsia="Times New Roman" w:hAnsi="Times" w:cs="Times New Roman"/>
          <w:color w:val="000000"/>
          <w:kern w:val="0"/>
          <w:sz w:val="20"/>
          <w:szCs w:val="20"/>
          <w:lang w:eastAsia="en-US" w:bidi="ar-SA"/>
        </w:rPr>
        <w:t>identified</w:t>
      </w:r>
      <w:r w:rsidRPr="001A6A92">
        <w:rPr>
          <w:rFonts w:ascii="Times" w:eastAsia="Times New Roman" w:hAnsi="Times" w:cs="Times New Roman"/>
          <w:color w:val="000000"/>
          <w:kern w:val="0"/>
          <w:sz w:val="20"/>
          <w:szCs w:val="20"/>
          <w:lang w:eastAsia="en-US" w:bidi="ar-SA"/>
        </w:rPr>
        <w:t xml:space="preserve"> factors that affected response strategy choices</w:t>
      </w:r>
      <w:r w:rsidRPr="001A6A92">
        <w:rPr>
          <w:rFonts w:ascii="Times" w:eastAsia="Times New Roman" w:hAnsi="Times" w:cs="Times New Roman"/>
          <w:b/>
          <w:bCs/>
          <w:color w:val="000000"/>
          <w:kern w:val="0"/>
          <w:sz w:val="20"/>
          <w:szCs w:val="20"/>
          <w:lang w:eastAsia="en-US" w:bidi="ar-SA"/>
        </w:rPr>
        <w:t> </w:t>
      </w:r>
      <w:r w:rsidRPr="001A6A92">
        <w:rPr>
          <w:rFonts w:ascii="Times" w:eastAsia="Times New Roman" w:hAnsi="Times" w:cs="Times New Roman"/>
          <w:color w:val="000000"/>
          <w:kern w:val="0"/>
          <w:sz w:val="20"/>
          <w:szCs w:val="20"/>
          <w:lang w:eastAsia="en-US" w:bidi="ar-SA"/>
        </w:rPr>
        <w:t xml:space="preserve">within the managed fire </w:t>
      </w:r>
      <w:r>
        <w:rPr>
          <w:rFonts w:ascii="Times" w:eastAsia="Times New Roman" w:hAnsi="Times" w:cs="Times New Roman"/>
          <w:color w:val="000000"/>
          <w:kern w:val="0"/>
          <w:sz w:val="20"/>
          <w:szCs w:val="20"/>
          <w:lang w:eastAsia="en-US" w:bidi="ar-SA"/>
        </w:rPr>
        <w:t xml:space="preserve">coded </w:t>
      </w:r>
      <w:r w:rsidRPr="001A6A92">
        <w:rPr>
          <w:rFonts w:ascii="Times" w:eastAsia="Times New Roman" w:hAnsi="Times" w:cs="Times New Roman"/>
          <w:color w:val="000000"/>
          <w:kern w:val="0"/>
          <w:sz w:val="20"/>
          <w:szCs w:val="20"/>
          <w:lang w:eastAsia="en-US" w:bidi="ar-SA"/>
        </w:rPr>
        <w:t>data</w:t>
      </w:r>
    </w:p>
    <w:p w14:paraId="6C519935" w14:textId="1537BDBD" w:rsidR="00152CC1" w:rsidRDefault="00152CC1">
      <w:pPr>
        <w:widowControl/>
        <w:rPr>
          <w:rFonts w:ascii="Times" w:hAnsi="Times"/>
          <w:sz w:val="20"/>
          <w:szCs w:val="20"/>
        </w:rPr>
      </w:pPr>
    </w:p>
    <w:p w14:paraId="1676AB8B" w14:textId="0E1DCE7B" w:rsidR="001A6A92" w:rsidRPr="001A6A92" w:rsidRDefault="001A6A92" w:rsidP="001A6A92">
      <w:pPr>
        <w:widowControl/>
        <w:suppressAutoHyphens w:val="0"/>
        <w:rPr>
          <w:rFonts w:ascii="Times" w:eastAsia="Times New Roman" w:hAnsi="Times" w:cs="Times New Roman"/>
          <w:b/>
          <w:bCs/>
          <w:kern w:val="0"/>
          <w:sz w:val="20"/>
          <w:szCs w:val="20"/>
          <w:lang w:eastAsia="en-US" w:bidi="ar-SA"/>
        </w:rPr>
      </w:pPr>
      <w:r w:rsidRPr="001A6A92">
        <w:rPr>
          <w:rFonts w:ascii="Times" w:hAnsi="Times"/>
          <w:b/>
          <w:bCs/>
          <w:sz w:val="20"/>
          <w:szCs w:val="20"/>
        </w:rPr>
        <w:t xml:space="preserve">Coding round 2: codes used to identify </w:t>
      </w:r>
      <w:r w:rsidRPr="001A6A92">
        <w:rPr>
          <w:rFonts w:ascii="Times" w:eastAsia="Times New Roman" w:hAnsi="Times" w:cs="Times New Roman"/>
          <w:b/>
          <w:bCs/>
          <w:color w:val="000000"/>
          <w:kern w:val="0"/>
          <w:sz w:val="20"/>
          <w:szCs w:val="20"/>
          <w:lang w:eastAsia="en-US" w:bidi="ar-SA"/>
        </w:rPr>
        <w:t>factors that affected response strategy choices within the managed fire coded data</w:t>
      </w:r>
    </w:p>
    <w:tbl>
      <w:tblPr>
        <w:tblW w:w="0" w:type="auto"/>
        <w:tblCellMar>
          <w:top w:w="15" w:type="dxa"/>
          <w:left w:w="15" w:type="dxa"/>
          <w:bottom w:w="15" w:type="dxa"/>
          <w:right w:w="15" w:type="dxa"/>
        </w:tblCellMar>
        <w:tblLook w:val="04A0" w:firstRow="1" w:lastRow="0" w:firstColumn="1" w:lastColumn="0" w:noHBand="0" w:noVBand="1"/>
      </w:tblPr>
      <w:tblGrid>
        <w:gridCol w:w="1448"/>
        <w:gridCol w:w="4060"/>
        <w:gridCol w:w="2070"/>
        <w:gridCol w:w="7478"/>
      </w:tblGrid>
      <w:tr w:rsidR="00152CC1" w:rsidRPr="001A6A92" w14:paraId="632106E2" w14:textId="77777777" w:rsidTr="00152CC1">
        <w:tc>
          <w:tcPr>
            <w:tcW w:w="0" w:type="auto"/>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108" w:type="dxa"/>
              <w:bottom w:w="0" w:type="dxa"/>
              <w:right w:w="108" w:type="dxa"/>
            </w:tcMar>
            <w:hideMark/>
          </w:tcPr>
          <w:p w14:paraId="2573B630" w14:textId="78A838DC" w:rsidR="00152CC1" w:rsidRPr="001A6A92" w:rsidRDefault="00152CC1" w:rsidP="001A6A92">
            <w:pPr>
              <w:widowControl/>
              <w:suppressAutoHyphens w:val="0"/>
              <w:rPr>
                <w:rFonts w:ascii="Times" w:eastAsia="Times New Roman" w:hAnsi="Times" w:cs="Times New Roman"/>
                <w:kern w:val="0"/>
                <w:sz w:val="20"/>
                <w:szCs w:val="20"/>
                <w:lang w:eastAsia="en-US" w:bidi="ar-SA"/>
              </w:rPr>
            </w:pPr>
          </w:p>
        </w:tc>
      </w:tr>
      <w:tr w:rsidR="00152CC1" w:rsidRPr="001A6A92" w14:paraId="434759AE" w14:textId="77777777" w:rsidTr="001A6A9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11F5D4"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b/>
                <w:bCs/>
                <w:color w:val="000000"/>
                <w:kern w:val="0"/>
                <w:sz w:val="20"/>
                <w:szCs w:val="20"/>
                <w:lang w:eastAsia="en-US" w:bidi="ar-SA"/>
              </w:rPr>
              <w:t>Theme</w:t>
            </w:r>
          </w:p>
        </w:tc>
        <w:tc>
          <w:tcPr>
            <w:tcW w:w="40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1084CF"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b/>
                <w:bCs/>
                <w:color w:val="000000"/>
                <w:kern w:val="0"/>
                <w:sz w:val="20"/>
                <w:szCs w:val="20"/>
                <w:lang w:eastAsia="en-US" w:bidi="ar-SA"/>
              </w:rPr>
              <w:t>Origin</w:t>
            </w: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C3B4EB"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b/>
                <w:bCs/>
                <w:color w:val="000000"/>
                <w:kern w:val="0"/>
                <w:sz w:val="20"/>
                <w:szCs w:val="20"/>
                <w:lang w:eastAsia="en-US" w:bidi="ar-SA"/>
              </w:rPr>
              <w:t>Codes</w:t>
            </w:r>
          </w:p>
        </w:tc>
        <w:tc>
          <w:tcPr>
            <w:tcW w:w="7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006C4A"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b/>
                <w:bCs/>
                <w:color w:val="000000"/>
                <w:kern w:val="0"/>
                <w:sz w:val="20"/>
                <w:szCs w:val="20"/>
                <w:lang w:eastAsia="en-US" w:bidi="ar-SA"/>
              </w:rPr>
              <w:t>Examples</w:t>
            </w:r>
          </w:p>
        </w:tc>
      </w:tr>
      <w:tr w:rsidR="00152CC1" w:rsidRPr="001A6A92" w14:paraId="17CEED18" w14:textId="77777777" w:rsidTr="001A6A92">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48395C"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Factors shaping response strategies</w:t>
            </w:r>
          </w:p>
        </w:tc>
        <w:tc>
          <w:tcPr>
            <w:tcW w:w="40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CD4D66"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Thompson 2014, Steelman and McCaffrey 2011, Williamson et al. 2007; our interest</w:t>
            </w: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1F06C3"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External influences</w:t>
            </w:r>
          </w:p>
        </w:tc>
        <w:tc>
          <w:tcPr>
            <w:tcW w:w="7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535656" w14:textId="77777777" w:rsidR="00152CC1" w:rsidRPr="001A6A92" w:rsidRDefault="00152CC1" w:rsidP="00152CC1">
            <w:pPr>
              <w:widowControl/>
              <w:numPr>
                <w:ilvl w:val="0"/>
                <w:numId w:val="2"/>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External types of influences from the public or entities who are not involved in fire response</w:t>
            </w:r>
          </w:p>
          <w:p w14:paraId="0023DF83" w14:textId="77777777" w:rsidR="00152CC1" w:rsidRPr="001A6A92" w:rsidRDefault="00152CC1" w:rsidP="00152CC1">
            <w:pPr>
              <w:widowControl/>
              <w:numPr>
                <w:ilvl w:val="0"/>
                <w:numId w:val="2"/>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Perceptions of public, elected official, or other stakeholder/partner support or lack of support for managed fire</w:t>
            </w:r>
          </w:p>
          <w:p w14:paraId="7B4255E4" w14:textId="77777777" w:rsidR="00152CC1" w:rsidRPr="001A6A92" w:rsidRDefault="00152CC1" w:rsidP="00152CC1">
            <w:pPr>
              <w:widowControl/>
              <w:numPr>
                <w:ilvl w:val="0"/>
                <w:numId w:val="2"/>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 xml:space="preserve">Social conditions under which support did or did not </w:t>
            </w:r>
            <w:proofErr w:type="gramStart"/>
            <w:r w:rsidRPr="001A6A92">
              <w:rPr>
                <w:rFonts w:ascii="Times" w:eastAsia="Times New Roman" w:hAnsi="Times" w:cs="Times New Roman"/>
                <w:color w:val="000000"/>
                <w:kern w:val="0"/>
                <w:sz w:val="20"/>
                <w:szCs w:val="20"/>
                <w:lang w:eastAsia="en-US" w:bidi="ar-SA"/>
              </w:rPr>
              <w:t>exist;</w:t>
            </w:r>
            <w:proofErr w:type="gramEnd"/>
            <w:r w:rsidRPr="001A6A92">
              <w:rPr>
                <w:rFonts w:ascii="Times" w:eastAsia="Times New Roman" w:hAnsi="Times" w:cs="Times New Roman"/>
                <w:color w:val="000000"/>
                <w:kern w:val="0"/>
                <w:sz w:val="20"/>
                <w:szCs w:val="20"/>
                <w:lang w:eastAsia="en-US" w:bidi="ar-SA"/>
              </w:rPr>
              <w:t xml:space="preserve"> including concerns for smoke</w:t>
            </w:r>
          </w:p>
          <w:p w14:paraId="3AE5F99A" w14:textId="77777777" w:rsidR="00152CC1" w:rsidRPr="001A6A92" w:rsidRDefault="00152CC1" w:rsidP="00152CC1">
            <w:pPr>
              <w:widowControl/>
              <w:numPr>
                <w:ilvl w:val="0"/>
                <w:numId w:val="2"/>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Importance of research in justifying need for managed fire</w:t>
            </w:r>
          </w:p>
          <w:p w14:paraId="23A54EDB" w14:textId="77777777" w:rsidR="00152CC1" w:rsidRPr="001A6A92" w:rsidRDefault="00152CC1" w:rsidP="00152CC1">
            <w:pPr>
              <w:widowControl/>
              <w:numPr>
                <w:ilvl w:val="0"/>
                <w:numId w:val="2"/>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External partner engagement in any pre-planning or risk analysis </w:t>
            </w:r>
          </w:p>
        </w:tc>
      </w:tr>
      <w:tr w:rsidR="00152CC1" w:rsidRPr="001A6A92" w14:paraId="3034A202" w14:textId="77777777" w:rsidTr="001A6A92">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86A7AC5"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p>
        </w:tc>
        <w:tc>
          <w:tcPr>
            <w:tcW w:w="40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F4DB98"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Thompson 2014, Steelman and McCaffrey 201, Williamson et al. 2007; our interest </w:t>
            </w: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990BCA"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Institutional influences </w:t>
            </w:r>
          </w:p>
        </w:tc>
        <w:tc>
          <w:tcPr>
            <w:tcW w:w="7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663FB7"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This code is really anything that has to do with the agency (mainly FS).  </w:t>
            </w:r>
          </w:p>
          <w:p w14:paraId="7EA728B7" w14:textId="77777777" w:rsidR="00152CC1" w:rsidRPr="001A6A92" w:rsidRDefault="00152CC1" w:rsidP="00152CC1">
            <w:pPr>
              <w:widowControl/>
              <w:numPr>
                <w:ilvl w:val="0"/>
                <w:numId w:val="3"/>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Internal types of influences</w:t>
            </w:r>
          </w:p>
          <w:p w14:paraId="6DD2017E" w14:textId="77777777" w:rsidR="00152CC1" w:rsidRPr="001A6A92" w:rsidRDefault="00152CC1" w:rsidP="00152CC1">
            <w:pPr>
              <w:widowControl/>
              <w:numPr>
                <w:ilvl w:val="0"/>
                <w:numId w:val="3"/>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Leadership support</w:t>
            </w:r>
          </w:p>
          <w:p w14:paraId="2C903948" w14:textId="77777777" w:rsidR="00152CC1" w:rsidRPr="001A6A92" w:rsidRDefault="00152CC1" w:rsidP="00152CC1">
            <w:pPr>
              <w:widowControl/>
              <w:numPr>
                <w:ilvl w:val="0"/>
                <w:numId w:val="3"/>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Performance measures and targets</w:t>
            </w:r>
          </w:p>
          <w:p w14:paraId="33F25866" w14:textId="77777777" w:rsidR="00152CC1" w:rsidRPr="001A6A92" w:rsidRDefault="00152CC1" w:rsidP="00152CC1">
            <w:pPr>
              <w:widowControl/>
              <w:numPr>
                <w:ilvl w:val="0"/>
                <w:numId w:val="3"/>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Agency culture, beliefs, norms</w:t>
            </w:r>
          </w:p>
          <w:p w14:paraId="73360157" w14:textId="77777777" w:rsidR="00152CC1" w:rsidRPr="001A6A92" w:rsidRDefault="00152CC1" w:rsidP="00152CC1">
            <w:pPr>
              <w:widowControl/>
              <w:numPr>
                <w:ilvl w:val="0"/>
                <w:numId w:val="3"/>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Any mention of processes that establish the context in which managed fire can be used: i.e., L/RMPs, fire management plans, NEPA</w:t>
            </w:r>
          </w:p>
          <w:p w14:paraId="79DE60F6" w14:textId="77777777" w:rsidR="00152CC1" w:rsidRPr="001A6A92" w:rsidRDefault="00152CC1" w:rsidP="00152CC1">
            <w:pPr>
              <w:widowControl/>
              <w:numPr>
                <w:ilvl w:val="0"/>
                <w:numId w:val="3"/>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Any internal enablers of managing fire</w:t>
            </w:r>
          </w:p>
          <w:p w14:paraId="633AAF08" w14:textId="77777777" w:rsidR="00152CC1" w:rsidRPr="001A6A92" w:rsidRDefault="00152CC1" w:rsidP="00152CC1">
            <w:pPr>
              <w:widowControl/>
              <w:numPr>
                <w:ilvl w:val="0"/>
                <w:numId w:val="3"/>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Any internal barriers to managing fire such as budgets or capacity</w:t>
            </w:r>
          </w:p>
          <w:p w14:paraId="5D59B4E0" w14:textId="77777777" w:rsidR="00152CC1" w:rsidRPr="001A6A92" w:rsidRDefault="00152CC1" w:rsidP="00152CC1">
            <w:pPr>
              <w:widowControl/>
              <w:numPr>
                <w:ilvl w:val="0"/>
                <w:numId w:val="3"/>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Internal silos</w:t>
            </w:r>
          </w:p>
          <w:p w14:paraId="557CCF96" w14:textId="77777777" w:rsidR="00152CC1" w:rsidRPr="001A6A92" w:rsidRDefault="00152CC1" w:rsidP="00152CC1">
            <w:pPr>
              <w:widowControl/>
              <w:suppressAutoHyphens w:val="0"/>
              <w:spacing w:after="240"/>
              <w:rPr>
                <w:rFonts w:ascii="Times" w:eastAsia="Times New Roman" w:hAnsi="Times" w:cs="Times New Roman"/>
                <w:kern w:val="0"/>
                <w:sz w:val="20"/>
                <w:szCs w:val="20"/>
                <w:lang w:eastAsia="en-US" w:bidi="ar-SA"/>
              </w:rPr>
            </w:pPr>
          </w:p>
        </w:tc>
      </w:tr>
      <w:tr w:rsidR="00152CC1" w:rsidRPr="001A6A92" w14:paraId="1C539364" w14:textId="77777777" w:rsidTr="001A6A92">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E37EB82"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p>
        </w:tc>
        <w:tc>
          <w:tcPr>
            <w:tcW w:w="40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52D0AF"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Thompson 2014</w:t>
            </w: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1CD085"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Individual risk </w:t>
            </w:r>
          </w:p>
        </w:tc>
        <w:tc>
          <w:tcPr>
            <w:tcW w:w="7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785D66" w14:textId="77777777" w:rsidR="00152CC1" w:rsidRPr="001A6A92" w:rsidRDefault="00152CC1" w:rsidP="00152CC1">
            <w:pPr>
              <w:widowControl/>
              <w:numPr>
                <w:ilvl w:val="0"/>
                <w:numId w:val="4"/>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Individual decision biases</w:t>
            </w:r>
          </w:p>
          <w:p w14:paraId="3EA3FF3A" w14:textId="77777777" w:rsidR="00152CC1" w:rsidRPr="001A6A92" w:rsidRDefault="00152CC1" w:rsidP="00152CC1">
            <w:pPr>
              <w:widowControl/>
              <w:numPr>
                <w:ilvl w:val="0"/>
                <w:numId w:val="4"/>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Individual concerns for risk to oneself</w:t>
            </w:r>
          </w:p>
          <w:p w14:paraId="34832080" w14:textId="77777777" w:rsidR="00152CC1" w:rsidRPr="001A6A92" w:rsidRDefault="00152CC1" w:rsidP="00152CC1">
            <w:pPr>
              <w:widowControl/>
              <w:numPr>
                <w:ilvl w:val="0"/>
                <w:numId w:val="4"/>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Individual liability </w:t>
            </w:r>
          </w:p>
          <w:p w14:paraId="25828C78"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p>
        </w:tc>
      </w:tr>
      <w:tr w:rsidR="00152CC1" w:rsidRPr="001A6A92" w14:paraId="53760E4E" w14:textId="77777777" w:rsidTr="001A6A92">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D4A14DB"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p>
        </w:tc>
        <w:tc>
          <w:tcPr>
            <w:tcW w:w="40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0EF1DF"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Thompson et al. 2018, Barnett et al. 2016</w:t>
            </w: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61C976"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Decision support tools/risk analytics</w:t>
            </w:r>
          </w:p>
        </w:tc>
        <w:tc>
          <w:tcPr>
            <w:tcW w:w="7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7A785A" w14:textId="77777777" w:rsidR="00152CC1" w:rsidRPr="001A6A92" w:rsidRDefault="00152CC1" w:rsidP="00152CC1">
            <w:pPr>
              <w:widowControl/>
              <w:numPr>
                <w:ilvl w:val="0"/>
                <w:numId w:val="5"/>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References to use of support tools or analytics in the context of managed fire</w:t>
            </w:r>
          </w:p>
          <w:p w14:paraId="6D67EF48" w14:textId="77777777" w:rsidR="00152CC1" w:rsidRPr="001A6A92" w:rsidRDefault="00152CC1" w:rsidP="00152CC1">
            <w:pPr>
              <w:widowControl/>
              <w:numPr>
                <w:ilvl w:val="0"/>
                <w:numId w:val="5"/>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During incident tools: i.e., WFDSS, geospatial data on control lines</w:t>
            </w:r>
          </w:p>
          <w:p w14:paraId="47538E26" w14:textId="77777777" w:rsidR="00152CC1" w:rsidRPr="001A6A92" w:rsidRDefault="00152CC1" w:rsidP="00152CC1">
            <w:pPr>
              <w:widowControl/>
              <w:numPr>
                <w:ilvl w:val="0"/>
                <w:numId w:val="5"/>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Post incident: i.e., evaluation of effectiveness of control lines and fuels treatments</w:t>
            </w:r>
          </w:p>
          <w:p w14:paraId="6B811E58" w14:textId="77777777" w:rsidR="00152CC1" w:rsidRPr="001A6A92" w:rsidRDefault="00152CC1" w:rsidP="00152CC1">
            <w:pPr>
              <w:widowControl/>
              <w:numPr>
                <w:ilvl w:val="0"/>
                <w:numId w:val="5"/>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Anything to do with PODs</w:t>
            </w:r>
          </w:p>
        </w:tc>
      </w:tr>
      <w:tr w:rsidR="00152CC1" w:rsidRPr="001A6A92" w14:paraId="4FBBDD15" w14:textId="77777777" w:rsidTr="001A6A9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0F9562"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Examples of using managed fire</w:t>
            </w:r>
          </w:p>
        </w:tc>
        <w:tc>
          <w:tcPr>
            <w:tcW w:w="40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E2C2A5"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 xml:space="preserve">Our interest, </w:t>
            </w:r>
            <w:proofErr w:type="gramStart"/>
            <w:r w:rsidRPr="001A6A92">
              <w:rPr>
                <w:rFonts w:ascii="Times" w:eastAsia="Times New Roman" w:hAnsi="Times" w:cs="Times New Roman"/>
                <w:color w:val="000000"/>
                <w:kern w:val="0"/>
                <w:sz w:val="20"/>
                <w:szCs w:val="20"/>
                <w:lang w:eastAsia="en-US" w:bidi="ar-SA"/>
              </w:rPr>
              <w:t>Steelman</w:t>
            </w:r>
            <w:proofErr w:type="gramEnd"/>
            <w:r w:rsidRPr="001A6A92">
              <w:rPr>
                <w:rFonts w:ascii="Times" w:eastAsia="Times New Roman" w:hAnsi="Times" w:cs="Times New Roman"/>
                <w:color w:val="000000"/>
                <w:kern w:val="0"/>
                <w:sz w:val="20"/>
                <w:szCs w:val="20"/>
                <w:lang w:eastAsia="en-US" w:bidi="ar-SA"/>
              </w:rPr>
              <w:t xml:space="preserve"> and McCaffrey 2011</w:t>
            </w: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51F91A"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Managed fire stories</w:t>
            </w:r>
          </w:p>
        </w:tc>
        <w:tc>
          <w:tcPr>
            <w:tcW w:w="7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CE2706" w14:textId="77777777" w:rsidR="00152CC1" w:rsidRPr="001A6A92" w:rsidRDefault="00152CC1" w:rsidP="00152CC1">
            <w:pPr>
              <w:widowControl/>
              <w:numPr>
                <w:ilvl w:val="0"/>
                <w:numId w:val="6"/>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Specific incidents on which managed fire was used; descriptions of how, why, outcomes</w:t>
            </w:r>
          </w:p>
        </w:tc>
      </w:tr>
      <w:tr w:rsidR="00152CC1" w:rsidRPr="001A6A92" w14:paraId="0CCAEE74" w14:textId="77777777" w:rsidTr="001A6A9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1D488A"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Pandemic impact</w:t>
            </w:r>
          </w:p>
        </w:tc>
        <w:tc>
          <w:tcPr>
            <w:tcW w:w="40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74D522"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Our interest and awareness of agency policies, pandemic effects</w:t>
            </w: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21750F"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Pandemic impact</w:t>
            </w:r>
          </w:p>
        </w:tc>
        <w:tc>
          <w:tcPr>
            <w:tcW w:w="7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949617" w14:textId="77777777" w:rsidR="00152CC1" w:rsidRPr="001A6A92" w:rsidRDefault="00152CC1" w:rsidP="00152CC1">
            <w:pPr>
              <w:widowControl/>
              <w:numPr>
                <w:ilvl w:val="0"/>
                <w:numId w:val="7"/>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 xml:space="preserve">Direction to not use managed fire </w:t>
            </w:r>
            <w:proofErr w:type="gramStart"/>
            <w:r w:rsidRPr="001A6A92">
              <w:rPr>
                <w:rFonts w:ascii="Times" w:eastAsia="Times New Roman" w:hAnsi="Times" w:cs="Times New Roman"/>
                <w:color w:val="000000"/>
                <w:kern w:val="0"/>
                <w:sz w:val="20"/>
                <w:szCs w:val="20"/>
                <w:lang w:eastAsia="en-US" w:bidi="ar-SA"/>
              </w:rPr>
              <w:t>as a result of</w:t>
            </w:r>
            <w:proofErr w:type="gramEnd"/>
            <w:r w:rsidRPr="001A6A92">
              <w:rPr>
                <w:rFonts w:ascii="Times" w:eastAsia="Times New Roman" w:hAnsi="Times" w:cs="Times New Roman"/>
                <w:color w:val="000000"/>
                <w:kern w:val="0"/>
                <w:sz w:val="20"/>
                <w:szCs w:val="20"/>
                <w:lang w:eastAsia="en-US" w:bidi="ar-SA"/>
              </w:rPr>
              <w:t xml:space="preserve"> the pandemic and shift to full suppression </w:t>
            </w:r>
          </w:p>
          <w:p w14:paraId="054EE1CD" w14:textId="77777777" w:rsidR="00152CC1" w:rsidRPr="001A6A92" w:rsidRDefault="00152CC1" w:rsidP="00152CC1">
            <w:pPr>
              <w:widowControl/>
              <w:numPr>
                <w:ilvl w:val="0"/>
                <w:numId w:val="7"/>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How risk was considered during the pandemic </w:t>
            </w:r>
          </w:p>
          <w:p w14:paraId="3E392919" w14:textId="77777777" w:rsidR="00152CC1" w:rsidRPr="001A6A92" w:rsidRDefault="00152CC1" w:rsidP="00152CC1">
            <w:pPr>
              <w:widowControl/>
              <w:numPr>
                <w:ilvl w:val="0"/>
                <w:numId w:val="7"/>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lastRenderedPageBreak/>
              <w:t>Impacts of not being able to use managed fire for a year</w:t>
            </w:r>
          </w:p>
          <w:p w14:paraId="31EA83B1"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p>
        </w:tc>
      </w:tr>
      <w:tr w:rsidR="00152CC1" w:rsidRPr="001A6A92" w14:paraId="77A27184" w14:textId="77777777" w:rsidTr="001A6A9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2A80C0"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lastRenderedPageBreak/>
              <w:t>Emergent codes</w:t>
            </w:r>
          </w:p>
        </w:tc>
        <w:tc>
          <w:tcPr>
            <w:tcW w:w="40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CDD3EC" w14:textId="77777777" w:rsidR="001A6A92" w:rsidRPr="001A6A92" w:rsidRDefault="001A6A92" w:rsidP="001A6A92">
            <w:pPr>
              <w:widowControl/>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Any discussion of buried, coded, or otherwise opaque use of managed fire that doesn’t call it that or plays it down </w:t>
            </w:r>
          </w:p>
          <w:p w14:paraId="599A30D2" w14:textId="6171476C" w:rsidR="00152CC1" w:rsidRPr="001A6A92" w:rsidRDefault="00152CC1" w:rsidP="00152CC1">
            <w:pPr>
              <w:widowControl/>
              <w:suppressAutoHyphens w:val="0"/>
              <w:rPr>
                <w:rFonts w:ascii="Times" w:eastAsia="Times New Roman" w:hAnsi="Times" w:cs="Times New Roman"/>
                <w:kern w:val="0"/>
                <w:sz w:val="20"/>
                <w:szCs w:val="20"/>
                <w:lang w:eastAsia="en-US" w:bidi="ar-SA"/>
              </w:rPr>
            </w:pP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4FD7C9"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Dark boundary</w:t>
            </w:r>
          </w:p>
        </w:tc>
        <w:tc>
          <w:tcPr>
            <w:tcW w:w="7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15F84A" w14:textId="77777777" w:rsidR="00152CC1" w:rsidRPr="001A6A92" w:rsidRDefault="00152CC1" w:rsidP="00152CC1">
            <w:pPr>
              <w:widowControl/>
              <w:numPr>
                <w:ilvl w:val="0"/>
                <w:numId w:val="8"/>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Any discussion of buried, coded, or otherwise opaque use of managed fire that doesn’t call it that or plays it down </w:t>
            </w:r>
          </w:p>
          <w:p w14:paraId="12E2E030" w14:textId="77777777" w:rsidR="00152CC1" w:rsidRPr="001A6A92" w:rsidRDefault="00152CC1" w:rsidP="00152CC1">
            <w:pPr>
              <w:widowControl/>
              <w:numPr>
                <w:ilvl w:val="0"/>
                <w:numId w:val="8"/>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Examples of fire being managed, but the term not being used</w:t>
            </w:r>
          </w:p>
          <w:p w14:paraId="24BF58D9" w14:textId="77777777" w:rsidR="00152CC1" w:rsidRPr="001A6A92" w:rsidRDefault="00152CC1" w:rsidP="00152CC1">
            <w:pPr>
              <w:widowControl/>
              <w:numPr>
                <w:ilvl w:val="0"/>
                <w:numId w:val="8"/>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Examples of “not talking about it” </w:t>
            </w:r>
          </w:p>
          <w:p w14:paraId="5BC03447" w14:textId="77777777" w:rsidR="00152CC1" w:rsidRPr="001A6A92" w:rsidRDefault="00152CC1" w:rsidP="00152CC1">
            <w:pPr>
              <w:widowControl/>
              <w:numPr>
                <w:ilvl w:val="0"/>
                <w:numId w:val="8"/>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Discussion of how managed fire can come out of the dark into being discussed more openly </w:t>
            </w:r>
          </w:p>
        </w:tc>
      </w:tr>
      <w:tr w:rsidR="00152CC1" w:rsidRPr="001A6A92" w14:paraId="6D36577E" w14:textId="77777777" w:rsidTr="001A6A9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E9BA1C"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p>
        </w:tc>
        <w:tc>
          <w:tcPr>
            <w:tcW w:w="40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958009"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Our observations/2018 interview data about differences in agency missions and approaches to managed fire in both states, yet also the apparent substantial interagency cooperation evident in Utah and in some NM interviews</w:t>
            </w: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5DDE7E"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Interagency</w:t>
            </w:r>
          </w:p>
        </w:tc>
        <w:tc>
          <w:tcPr>
            <w:tcW w:w="7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2D601D" w14:textId="77777777" w:rsidR="00152CC1" w:rsidRPr="001A6A92" w:rsidRDefault="00152CC1" w:rsidP="00152CC1">
            <w:pPr>
              <w:widowControl/>
              <w:numPr>
                <w:ilvl w:val="0"/>
                <w:numId w:val="9"/>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Any discussion of the difference between agencies in their missions and responsibilities in fire suppression, different approaches to managed fire</w:t>
            </w:r>
            <w:proofErr w:type="gramStart"/>
            <w:r w:rsidRPr="001A6A92">
              <w:rPr>
                <w:rFonts w:ascii="Times" w:eastAsia="Times New Roman" w:hAnsi="Times" w:cs="Times New Roman"/>
                <w:color w:val="000000"/>
                <w:kern w:val="0"/>
                <w:sz w:val="20"/>
                <w:szCs w:val="20"/>
                <w:lang w:eastAsia="en-US" w:bidi="ar-SA"/>
              </w:rPr>
              <w:t>—“</w:t>
            </w:r>
            <w:proofErr w:type="gramEnd"/>
            <w:r w:rsidRPr="001A6A92">
              <w:rPr>
                <w:rFonts w:ascii="Times" w:eastAsia="Times New Roman" w:hAnsi="Times" w:cs="Times New Roman"/>
                <w:color w:val="000000"/>
                <w:kern w:val="0"/>
                <w:sz w:val="20"/>
                <w:szCs w:val="20"/>
                <w:lang w:eastAsia="en-US" w:bidi="ar-SA"/>
              </w:rPr>
              <w:t>hard boundaries”</w:t>
            </w:r>
          </w:p>
          <w:p w14:paraId="57CD184B" w14:textId="77777777" w:rsidR="00152CC1" w:rsidRPr="001A6A92" w:rsidRDefault="00152CC1" w:rsidP="00152CC1">
            <w:pPr>
              <w:widowControl/>
              <w:numPr>
                <w:ilvl w:val="0"/>
                <w:numId w:val="9"/>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Restrictions and inhibitions to use of managed fire that are related to these agencies’ differences </w:t>
            </w:r>
          </w:p>
          <w:p w14:paraId="7229D454" w14:textId="77777777" w:rsidR="00152CC1" w:rsidRPr="001A6A92" w:rsidRDefault="00152CC1" w:rsidP="00152CC1">
            <w:pPr>
              <w:widowControl/>
              <w:numPr>
                <w:ilvl w:val="0"/>
                <w:numId w:val="9"/>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Organizational liability </w:t>
            </w:r>
          </w:p>
          <w:p w14:paraId="49C3879C" w14:textId="77777777" w:rsidR="00152CC1" w:rsidRPr="001A6A92" w:rsidRDefault="00152CC1" w:rsidP="00152CC1">
            <w:pPr>
              <w:widowControl/>
              <w:numPr>
                <w:ilvl w:val="0"/>
                <w:numId w:val="9"/>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May also include description of how and why these hard boundaries get overcome and examples of working well across them—interagency involvement and cooperation. This may include use of prescribed fire and the role it plays in laying the groundwork. </w:t>
            </w:r>
          </w:p>
        </w:tc>
      </w:tr>
      <w:tr w:rsidR="00152CC1" w:rsidRPr="001A6A92" w14:paraId="3C2D9CFA" w14:textId="77777777" w:rsidTr="001A6A9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C76539"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p>
        </w:tc>
        <w:tc>
          <w:tcPr>
            <w:tcW w:w="40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831DA3"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Round 2 interview data </w:t>
            </w: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14DF90"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r w:rsidRPr="001A6A92">
              <w:rPr>
                <w:rFonts w:ascii="Times" w:eastAsia="Times New Roman" w:hAnsi="Times" w:cs="Times New Roman"/>
                <w:color w:val="000000"/>
                <w:kern w:val="0"/>
                <w:sz w:val="20"/>
                <w:szCs w:val="20"/>
                <w:lang w:eastAsia="en-US" w:bidi="ar-SA"/>
              </w:rPr>
              <w:t>Human caused</w:t>
            </w:r>
          </w:p>
        </w:tc>
        <w:tc>
          <w:tcPr>
            <w:tcW w:w="7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D18023" w14:textId="77777777" w:rsidR="00152CC1" w:rsidRPr="001A6A92" w:rsidRDefault="00152CC1" w:rsidP="00152CC1">
            <w:pPr>
              <w:widowControl/>
              <w:numPr>
                <w:ilvl w:val="0"/>
                <w:numId w:val="10"/>
              </w:numPr>
              <w:suppressAutoHyphens w:val="0"/>
              <w:textAlignment w:val="baseline"/>
              <w:rPr>
                <w:rFonts w:ascii="Times" w:eastAsia="Times New Roman" w:hAnsi="Times" w:cs="Times New Roman"/>
                <w:color w:val="000000"/>
                <w:kern w:val="0"/>
                <w:sz w:val="20"/>
                <w:szCs w:val="20"/>
                <w:lang w:eastAsia="en-US" w:bidi="ar-SA"/>
              </w:rPr>
            </w:pPr>
            <w:r w:rsidRPr="001A6A92">
              <w:rPr>
                <w:rFonts w:ascii="Times" w:eastAsia="Times New Roman" w:hAnsi="Times" w:cs="Times New Roman"/>
                <w:color w:val="000000"/>
                <w:kern w:val="0"/>
                <w:sz w:val="20"/>
                <w:szCs w:val="20"/>
                <w:lang w:eastAsia="en-US" w:bidi="ar-SA"/>
              </w:rPr>
              <w:t>Reference to 2020 or 2021 wildfires that were human caused and did not offer much opportunity for managed fire as they were not naturally ignited </w:t>
            </w:r>
          </w:p>
        </w:tc>
      </w:tr>
    </w:tbl>
    <w:p w14:paraId="3CEBE9C7" w14:textId="77777777" w:rsidR="00152CC1" w:rsidRPr="001A6A92" w:rsidRDefault="00152CC1" w:rsidP="00152CC1">
      <w:pPr>
        <w:widowControl/>
        <w:suppressAutoHyphens w:val="0"/>
        <w:rPr>
          <w:rFonts w:ascii="Times" w:eastAsia="Times New Roman" w:hAnsi="Times" w:cs="Times New Roman"/>
          <w:kern w:val="0"/>
          <w:sz w:val="20"/>
          <w:szCs w:val="20"/>
          <w:lang w:eastAsia="en-US" w:bidi="ar-SA"/>
        </w:rPr>
      </w:pPr>
    </w:p>
    <w:p w14:paraId="7D63B562" w14:textId="77777777" w:rsidR="00152CC1" w:rsidRPr="001A6A92" w:rsidRDefault="00152CC1">
      <w:pPr>
        <w:rPr>
          <w:rFonts w:ascii="Times" w:hAnsi="Times"/>
          <w:sz w:val="20"/>
          <w:szCs w:val="20"/>
        </w:rPr>
      </w:pPr>
    </w:p>
    <w:sectPr w:rsidR="00152CC1" w:rsidRPr="001A6A92">
      <w:footerReference w:type="default" r:id="rId7"/>
      <w:pgSz w:w="16840" w:h="11900" w:orient="landscape"/>
      <w:pgMar w:top="1000" w:right="1000" w:bottom="1525" w:left="1000" w:header="0" w:footer="1000" w:gutter="0"/>
      <w:cols w:space="720"/>
      <w:formProt w:val="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673CA0" w14:textId="77777777" w:rsidR="00F333E8" w:rsidRDefault="00F333E8">
      <w:pPr>
        <w:rPr>
          <w:rFonts w:hint="eastAsia"/>
        </w:rPr>
      </w:pPr>
      <w:r>
        <w:separator/>
      </w:r>
    </w:p>
  </w:endnote>
  <w:endnote w:type="continuationSeparator" w:id="0">
    <w:p w14:paraId="0A499582" w14:textId="77777777" w:rsidR="00F333E8" w:rsidRDefault="00F333E8">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Liberation Serif">
    <w:altName w:val="Times New Roman"/>
    <w:panose1 w:val="020B0604020202020204"/>
    <w:charset w:val="01"/>
    <w:family w:val="roman"/>
    <w:pitch w:val="variable"/>
  </w:font>
  <w:font w:name="Arial Unicode MS">
    <w:panose1 w:val="020B0604020202020204"/>
    <w:charset w:val="80"/>
    <w:family w:val="swiss"/>
    <w:pitch w:val="variable"/>
    <w:sig w:usb0="F7FFAFFF" w:usb1="E9DFFFFF" w:usb2="0000003F" w:usb3="00000000" w:csb0="003F01FF" w:csb1="00000000"/>
  </w:font>
  <w:font w:name="Liberation Sans">
    <w:altName w:val="Arial"/>
    <w:panose1 w:val="020B0604020202020204"/>
    <w:charset w:val="01"/>
    <w:family w:val="swiss"/>
    <w:pitch w:val="variable"/>
  </w:font>
  <w:font w:name="Times">
    <w:panose1 w:val="00000500000000020000"/>
    <w:charset w:val="00"/>
    <w:family w:val="auto"/>
    <w:pitch w:val="variable"/>
    <w:sig w:usb0="E00002FF" w:usb1="5000205A"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1B56B" w14:textId="35EA381B" w:rsidR="00E206F9" w:rsidRDefault="001E31D3">
    <w:pPr>
      <w:pStyle w:val="Footer"/>
      <w:rPr>
        <w:rFonts w:ascii="Helvetica Neue" w:hAnsi="Helvetica Neue"/>
        <w:sz w:val="20"/>
      </w:rPr>
    </w:pPr>
    <w:r>
      <w:rPr>
        <w:rFonts w:ascii="Helvetica Neue" w:hAnsi="Helvetica Neue"/>
        <w:sz w:val="20"/>
      </w:rPr>
      <w:tab/>
    </w:r>
    <w:r>
      <w:rPr>
        <w:rFonts w:ascii="Helvetica Neue" w:hAnsi="Helvetica Neue"/>
        <w:sz w:val="20"/>
      </w:rPr>
      <w:tab/>
    </w:r>
    <w:r>
      <w:rPr>
        <w:rFonts w:ascii="Helvetica Neue" w:hAnsi="Helvetica Neue"/>
        <w:sz w:val="20"/>
      </w:rPr>
      <w:fldChar w:fldCharType="begin"/>
    </w:r>
    <w:r>
      <w:rPr>
        <w:rFonts w:ascii="Helvetica Neue" w:hAnsi="Helvetica Neue"/>
        <w:sz w:val="20"/>
      </w:rPr>
      <w:instrText>PAGE</w:instrText>
    </w:r>
    <w:r>
      <w:rPr>
        <w:rFonts w:ascii="Helvetica Neue" w:hAnsi="Helvetica Neue"/>
        <w:sz w:val="20"/>
      </w:rPr>
      <w:fldChar w:fldCharType="separate"/>
    </w:r>
    <w:r>
      <w:rPr>
        <w:rFonts w:ascii="Helvetica Neue" w:hAnsi="Helvetica Neue"/>
        <w:sz w:val="20"/>
      </w:rPr>
      <w:t>1</w:t>
    </w:r>
    <w:r>
      <w:rPr>
        <w:rFonts w:ascii="Helvetica Neue" w:hAnsi="Helvetica Neue"/>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A75ACB" w14:textId="77777777" w:rsidR="00F333E8" w:rsidRDefault="00F333E8">
      <w:pPr>
        <w:rPr>
          <w:rFonts w:hint="eastAsia"/>
        </w:rPr>
      </w:pPr>
      <w:r>
        <w:separator/>
      </w:r>
    </w:p>
  </w:footnote>
  <w:footnote w:type="continuationSeparator" w:id="0">
    <w:p w14:paraId="71598791" w14:textId="77777777" w:rsidR="00F333E8" w:rsidRDefault="00F333E8">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016053"/>
    <w:multiLevelType w:val="multilevel"/>
    <w:tmpl w:val="2D3A6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72212A"/>
    <w:multiLevelType w:val="multilevel"/>
    <w:tmpl w:val="223E1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C35A57"/>
    <w:multiLevelType w:val="multilevel"/>
    <w:tmpl w:val="14742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9340754"/>
    <w:multiLevelType w:val="multilevel"/>
    <w:tmpl w:val="89B20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17B2516"/>
    <w:multiLevelType w:val="multilevel"/>
    <w:tmpl w:val="DF4274A0"/>
    <w:lvl w:ilvl="0">
      <w:start w:val="1"/>
      <w:numFmt w:val="none"/>
      <w:pStyle w:val="Heading1"/>
      <w:suff w:val="nothing"/>
      <w:lvlText w:val=""/>
      <w:lvlJc w:val="left"/>
      <w:pPr>
        <w:tabs>
          <w:tab w:val="num" w:pos="432"/>
        </w:tabs>
        <w:ind w:left="432" w:hanging="432"/>
      </w:pPr>
    </w:lvl>
    <w:lvl w:ilvl="1">
      <w:start w:val="1"/>
      <w:numFmt w:val="none"/>
      <w:pStyle w:val="Heading2"/>
      <w:suff w:val="nothing"/>
      <w:lvlText w:val=""/>
      <w:lvlJc w:val="left"/>
      <w:pPr>
        <w:tabs>
          <w:tab w:val="num" w:pos="576"/>
        </w:tabs>
        <w:ind w:left="576" w:hanging="576"/>
      </w:pPr>
    </w:lvl>
    <w:lvl w:ilvl="2">
      <w:start w:val="1"/>
      <w:numFmt w:val="none"/>
      <w:pStyle w:val="Heading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15:restartNumberingAfterBreak="0">
    <w:nsid w:val="6C09678B"/>
    <w:multiLevelType w:val="multilevel"/>
    <w:tmpl w:val="0D7EF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D4A00C6"/>
    <w:multiLevelType w:val="multilevel"/>
    <w:tmpl w:val="AE163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F9B6545"/>
    <w:multiLevelType w:val="multilevel"/>
    <w:tmpl w:val="9D86C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3C111F1"/>
    <w:multiLevelType w:val="multilevel"/>
    <w:tmpl w:val="E7787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9335EC0"/>
    <w:multiLevelType w:val="multilevel"/>
    <w:tmpl w:val="74462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
  </w:num>
  <w:num w:numId="3">
    <w:abstractNumId w:val="9"/>
  </w:num>
  <w:num w:numId="4">
    <w:abstractNumId w:val="0"/>
  </w:num>
  <w:num w:numId="5">
    <w:abstractNumId w:val="5"/>
  </w:num>
  <w:num w:numId="6">
    <w:abstractNumId w:val="3"/>
  </w:num>
  <w:num w:numId="7">
    <w:abstractNumId w:val="7"/>
  </w:num>
  <w:num w:numId="8">
    <w:abstractNumId w:val="8"/>
  </w:num>
  <w:num w:numId="9">
    <w:abstractNumId w:val="6"/>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9"/>
  <w:autoHyphenation/>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E206F9"/>
    <w:rsid w:val="00152CC1"/>
    <w:rsid w:val="001A6A92"/>
    <w:rsid w:val="001E31D3"/>
    <w:rsid w:val="00610669"/>
    <w:rsid w:val="008271E6"/>
    <w:rsid w:val="00942387"/>
    <w:rsid w:val="00E206F9"/>
    <w:rsid w:val="00F333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49383E8"/>
  <w15:docId w15:val="{1D96355E-D9E5-3F4E-90DD-743BD0FA37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Arial Unicode MS" w:hAnsi="Liberation Serif" w:cs="Arial Unicode MS"/>
        <w:kern w:val="2"/>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style>
  <w:style w:type="paragraph" w:styleId="Heading1">
    <w:name w:val="heading 1"/>
    <w:basedOn w:val="Heading"/>
    <w:next w:val="BodyText"/>
    <w:uiPriority w:val="9"/>
    <w:qFormat/>
    <w:pPr>
      <w:numPr>
        <w:numId w:val="1"/>
      </w:numPr>
      <w:outlineLvl w:val="0"/>
    </w:pPr>
    <w:rPr>
      <w:b/>
      <w:bCs/>
      <w:sz w:val="36"/>
      <w:szCs w:val="36"/>
    </w:rPr>
  </w:style>
  <w:style w:type="paragraph" w:styleId="Heading2">
    <w:name w:val="heading 2"/>
    <w:basedOn w:val="Heading"/>
    <w:next w:val="BodyText"/>
    <w:uiPriority w:val="9"/>
    <w:unhideWhenUsed/>
    <w:qFormat/>
    <w:pPr>
      <w:numPr>
        <w:ilvl w:val="1"/>
        <w:numId w:val="1"/>
      </w:numPr>
      <w:spacing w:before="200"/>
      <w:outlineLvl w:val="1"/>
    </w:pPr>
    <w:rPr>
      <w:b/>
      <w:bCs/>
      <w:sz w:val="32"/>
      <w:szCs w:val="32"/>
    </w:rPr>
  </w:style>
  <w:style w:type="paragraph" w:styleId="Heading3">
    <w:name w:val="heading 3"/>
    <w:basedOn w:val="Heading"/>
    <w:next w:val="BodyText"/>
    <w:uiPriority w:val="9"/>
    <w:semiHidden/>
    <w:unhideWhenUsed/>
    <w:qFormat/>
    <w:pPr>
      <w:numPr>
        <w:ilvl w:val="2"/>
        <w:numId w:val="1"/>
      </w:numPr>
      <w:spacing w:before="140"/>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Characters">
    <w:name w:val="Footnote Characters"/>
    <w:qFormat/>
  </w:style>
  <w:style w:type="character" w:customStyle="1" w:styleId="FootnoteAnchor">
    <w:name w:val="Footnote Anchor"/>
    <w:rPr>
      <w:vertAlign w:val="superscript"/>
    </w:rPr>
  </w:style>
  <w:style w:type="paragraph" w:customStyle="1" w:styleId="Heading">
    <w:name w:val="Heading"/>
    <w:basedOn w:val="Normal"/>
    <w:next w:val="BodyText"/>
    <w:qFormat/>
    <w:pPr>
      <w:keepNext/>
      <w:spacing w:before="240" w:after="120"/>
    </w:pPr>
    <w:rPr>
      <w:rFonts w:ascii="Liberation Sans" w:hAnsi="Liberation Sans"/>
      <w:sz w:val="28"/>
      <w:szCs w:val="28"/>
    </w:rPr>
  </w:style>
  <w:style w:type="paragraph" w:styleId="BodyText">
    <w:name w:val="Body Text"/>
    <w:basedOn w:val="Normal"/>
    <w:pPr>
      <w:spacing w:after="140" w:line="288"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FootnoteText">
    <w:name w:val="footnote text"/>
    <w:basedOn w:val="Normal"/>
    <w:pPr>
      <w:suppressLineNumbers/>
      <w:ind w:left="339" w:hanging="339"/>
    </w:pPr>
    <w:rPr>
      <w:sz w:val="20"/>
      <w:szCs w:val="20"/>
    </w:rPr>
  </w:style>
  <w:style w:type="paragraph" w:customStyle="1" w:styleId="HeaderandFooter">
    <w:name w:val="Header and Footer"/>
    <w:basedOn w:val="Normal"/>
    <w:qFormat/>
    <w:pPr>
      <w:suppressLineNumbers/>
      <w:tabs>
        <w:tab w:val="center" w:pos="4986"/>
        <w:tab w:val="right" w:pos="9972"/>
      </w:tabs>
    </w:pPr>
  </w:style>
  <w:style w:type="paragraph" w:styleId="Footer">
    <w:name w:val="footer"/>
    <w:basedOn w:val="Normal"/>
    <w:pPr>
      <w:suppressLineNumbers/>
      <w:tabs>
        <w:tab w:val="center" w:pos="7283"/>
        <w:tab w:val="right" w:pos="14566"/>
      </w:tabs>
    </w:pPr>
  </w:style>
  <w:style w:type="paragraph" w:styleId="Header">
    <w:name w:val="header"/>
    <w:basedOn w:val="Normal"/>
    <w:pPr>
      <w:suppressLineNumbers/>
      <w:tabs>
        <w:tab w:val="center" w:pos="7283"/>
        <w:tab w:val="right" w:pos="14566"/>
      </w:tabs>
    </w:pPr>
  </w:style>
  <w:style w:type="paragraph" w:styleId="NormalWeb">
    <w:name w:val="Normal (Web)"/>
    <w:basedOn w:val="Normal"/>
    <w:uiPriority w:val="99"/>
    <w:semiHidden/>
    <w:unhideWhenUsed/>
    <w:rsid w:val="00152CC1"/>
    <w:pPr>
      <w:widowControl/>
      <w:suppressAutoHyphens w:val="0"/>
      <w:spacing w:before="100" w:beforeAutospacing="1" w:after="100" w:afterAutospacing="1"/>
    </w:pPr>
    <w:rPr>
      <w:rFonts w:ascii="Times New Roman" w:eastAsia="Times New Roman" w:hAnsi="Times New Roman" w:cs="Times New Roman"/>
      <w:kern w:val="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6161041">
      <w:bodyDiv w:val="1"/>
      <w:marLeft w:val="0"/>
      <w:marRight w:val="0"/>
      <w:marTop w:val="0"/>
      <w:marBottom w:val="0"/>
      <w:divBdr>
        <w:top w:val="none" w:sz="0" w:space="0" w:color="auto"/>
        <w:left w:val="none" w:sz="0" w:space="0" w:color="auto"/>
        <w:bottom w:val="none" w:sz="0" w:space="0" w:color="auto"/>
        <w:right w:val="none" w:sz="0" w:space="0" w:color="auto"/>
      </w:divBdr>
      <w:divsChild>
        <w:div w:id="1336759534">
          <w:marLeft w:val="-108"/>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579</Words>
  <Characters>3304</Characters>
  <Application>Microsoft Office Word</Application>
  <DocSecurity>0</DocSecurity>
  <Lines>27</Lines>
  <Paragraphs>7</Paragraphs>
  <ScaleCrop>false</ScaleCrop>
  <Company/>
  <LinksUpToDate>false</LinksUpToDate>
  <CharactersWithSpaces>3876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Deak</dc:creator>
  <dc:description/>
  <cp:lastModifiedBy>Heidi Huber-Stearns</cp:lastModifiedBy>
  <cp:revision>4</cp:revision>
  <cp:lastPrinted>2017-01-04T14:30:00Z</cp:lastPrinted>
  <dcterms:created xsi:type="dcterms:W3CDTF">2021-11-12T01:16:00Z</dcterms:created>
  <dcterms:modified xsi:type="dcterms:W3CDTF">2021-11-18T16:29:00Z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xport Date">
    <vt:lpwstr>2021-08-13T18:44:17</vt:lpwstr>
  </property>
  <property fmtid="{D5CDD505-2E9C-101B-9397-08002B2CF9AE}" pid="3" name="Folder Description">
    <vt:lpwstr>&lt;Folder Description&gt;</vt:lpwstr>
  </property>
  <property fmtid="{D5CDD505-2E9C-101B-9397-08002B2CF9AE}" pid="4" name="Folder Title">
    <vt:lpwstr>&lt;Folder Title&gt;</vt:lpwstr>
  </property>
  <property fmtid="{D5CDD505-2E9C-101B-9397-08002B2CF9AE}" pid="5" name="Header Description">
    <vt:lpwstr>&lt;Description&gt;</vt:lpwstr>
  </property>
  <property fmtid="{D5CDD505-2E9C-101B-9397-08002B2CF9AE}" pid="6" name="Header Name">
    <vt:lpwstr>&lt;Name&gt;</vt:lpwstr>
  </property>
  <property fmtid="{D5CDD505-2E9C-101B-9397-08002B2CF9AE}" pid="7" name="Header References">
    <vt:lpwstr>&lt;References&gt;</vt:lpwstr>
  </property>
  <property fmtid="{D5CDD505-2E9C-101B-9397-08002B2CF9AE}" pid="8" name="Header Sources">
    <vt:lpwstr>&lt;Sources&gt;</vt:lpwstr>
  </property>
  <property fmtid="{D5CDD505-2E9C-101B-9397-08002B2CF9AE}" pid="9" name="Item Description">
    <vt:lpwstr>&lt;description&gt;</vt:lpwstr>
  </property>
  <property fmtid="{D5CDD505-2E9C-101B-9397-08002B2CF9AE}" pid="10" name="Item Name">
    <vt:lpwstr>&lt;item&gt;</vt:lpwstr>
  </property>
  <property fmtid="{D5CDD505-2E9C-101B-9397-08002B2CF9AE}" pid="11" name="Item References">
    <vt:lpwstr>&lt;refs&gt;</vt:lpwstr>
  </property>
  <property fmtid="{D5CDD505-2E9C-101B-9397-08002B2CF9AE}" pid="12" name="Item Sources">
    <vt:lpwstr>&lt;sources&gt;</vt:lpwstr>
  </property>
  <property fmtid="{D5CDD505-2E9C-101B-9397-08002B2CF9AE}" pid="13" name="Project Name">
    <vt:lpwstr>Untitled</vt:lpwstr>
  </property>
</Properties>
</file>